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4A" w:rsidRPr="00435514" w:rsidRDefault="00764B4A" w:rsidP="00764B4A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sz w:val="28"/>
          <w:szCs w:val="28"/>
        </w:rPr>
      </w:pPr>
      <w:bookmarkStart w:id="0" w:name="_Toc451182001"/>
      <w:bookmarkStart w:id="1" w:name="_Toc451469286"/>
      <w:bookmarkStart w:id="2" w:name="_Toc452336960"/>
      <w:bookmarkStart w:id="3" w:name="_Toc465106067"/>
      <w:bookmarkStart w:id="4" w:name="_Toc467011208"/>
      <w:bookmarkStart w:id="5" w:name="_Toc469954433"/>
      <w:bookmarkStart w:id="6" w:name="_Toc487707106"/>
      <w:bookmarkStart w:id="7" w:name="_Toc499148751"/>
      <w:bookmarkStart w:id="8" w:name="_Toc500883641"/>
      <w:bookmarkStart w:id="9" w:name="_Toc500883718"/>
      <w:bookmarkStart w:id="10" w:name="_Toc504699267"/>
      <w:bookmarkStart w:id="11" w:name="_Toc505692620"/>
      <w:bookmarkStart w:id="12" w:name="_Toc508302560"/>
      <w:bookmarkStart w:id="13" w:name="_Toc508754422"/>
      <w:bookmarkStart w:id="14" w:name="_Toc509104172"/>
      <w:bookmarkStart w:id="15" w:name="_Toc510175194"/>
      <w:bookmarkStart w:id="16" w:name="_Toc510300006"/>
      <w:bookmarkStart w:id="17" w:name="_Toc517703438"/>
      <w:bookmarkStart w:id="18" w:name="_Toc517719180"/>
      <w:bookmarkStart w:id="19" w:name="_Toc517907676"/>
      <w:bookmarkStart w:id="20" w:name="_Toc522192919"/>
      <w:bookmarkStart w:id="21" w:name="_Toc522628534"/>
      <w:bookmarkStart w:id="22" w:name="_Toc524892686"/>
      <w:bookmarkStart w:id="23" w:name="_Toc531808748"/>
      <w:bookmarkStart w:id="24" w:name="_Toc531991097"/>
      <w:bookmarkStart w:id="25" w:name="_Toc532148576"/>
      <w:bookmarkStart w:id="26" w:name="_Toc1641055"/>
      <w:bookmarkStart w:id="27" w:name="_Toc18076321"/>
      <w:bookmarkStart w:id="28" w:name="_Toc23197760"/>
      <w:bookmarkStart w:id="29" w:name="_Toc28428427"/>
      <w:bookmarkStart w:id="30" w:name="_Toc45632293"/>
      <w:bookmarkStart w:id="31" w:name="_Toc46407090"/>
      <w:r w:rsidRPr="00435514">
        <w:rPr>
          <w:rFonts w:ascii="Liberation Serif" w:hAnsi="Liberation Serif"/>
          <w:sz w:val="28"/>
          <w:szCs w:val="28"/>
        </w:rPr>
        <w:t>ООО "</w:t>
      </w:r>
      <w:r>
        <w:rPr>
          <w:rFonts w:ascii="Liberation Serif" w:hAnsi="Liberation Serif"/>
          <w:sz w:val="28"/>
          <w:szCs w:val="28"/>
        </w:rPr>
        <w:t>ЗАК</w:t>
      </w:r>
      <w:r w:rsidRPr="00435514">
        <w:rPr>
          <w:rFonts w:ascii="Liberation Serif" w:hAnsi="Liberation Serif"/>
          <w:sz w:val="28"/>
          <w:szCs w:val="28"/>
        </w:rPr>
        <w:t>"</w:t>
      </w:r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uppressAutoHyphens/>
        <w:autoSpaceDN w:val="0"/>
        <w:spacing w:after="0" w:line="240" w:lineRule="auto"/>
        <w:ind w:right="30" w:firstLine="426"/>
        <w:jc w:val="center"/>
        <w:textAlignment w:val="baseline"/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</w:pPr>
    </w:p>
    <w:p w:rsidR="00060268" w:rsidRPr="00060268" w:rsidRDefault="0079698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3053" cy="1730326"/>
            <wp:effectExtent l="0" t="0" r="0" b="3810"/>
            <wp:docPr id="2" name="Рисунок 2" descr="https://www.bankgorodov.ru/system/img.php?f=/public//photos/coa/187428.gif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nkgorodov.ru/system/img.php?f=/public//photos/coa/187428.gif&amp;w=254&amp;h=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96" cy="173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32" w:name="_Toc451181996"/>
      <w:bookmarkStart w:id="33" w:name="_Toc451469281"/>
      <w:bookmarkStart w:id="34" w:name="_Toc452336955"/>
      <w:bookmarkStart w:id="35" w:name="_Toc465106062"/>
      <w:bookmarkStart w:id="36" w:name="_Toc467011203"/>
      <w:bookmarkStart w:id="37" w:name="_Toc469954428"/>
      <w:bookmarkStart w:id="38" w:name="_Toc487707101"/>
      <w:bookmarkStart w:id="39" w:name="_Toc499148746"/>
      <w:bookmarkStart w:id="40" w:name="_Toc500883636"/>
      <w:bookmarkStart w:id="41" w:name="_Toc500883713"/>
      <w:bookmarkStart w:id="42" w:name="_Toc504699262"/>
      <w:bookmarkStart w:id="43" w:name="_Toc505692615"/>
      <w:bookmarkStart w:id="44" w:name="_Toc508302555"/>
      <w:bookmarkStart w:id="45" w:name="_Toc508754417"/>
      <w:bookmarkStart w:id="46" w:name="_Toc509104167"/>
      <w:bookmarkStart w:id="47" w:name="_Toc510175189"/>
      <w:bookmarkStart w:id="48" w:name="_Toc510300001"/>
      <w:bookmarkStart w:id="49" w:name="_Toc517703433"/>
      <w:bookmarkStart w:id="50" w:name="_Toc517719175"/>
      <w:bookmarkStart w:id="51" w:name="_Toc517907671"/>
      <w:bookmarkStart w:id="52" w:name="_Toc522192914"/>
      <w:bookmarkStart w:id="53" w:name="_Toc522628530"/>
      <w:bookmarkStart w:id="54" w:name="_Toc524892682"/>
      <w:bookmarkStart w:id="55" w:name="_Toc531808744"/>
      <w:bookmarkStart w:id="56" w:name="_Toc531991093"/>
      <w:bookmarkStart w:id="57" w:name="_Toc532148572"/>
      <w:bookmarkStart w:id="58" w:name="_Toc1641051"/>
      <w:bookmarkStart w:id="59" w:name="_Toc18076317"/>
      <w:bookmarkStart w:id="60" w:name="_Toc23197756"/>
      <w:bookmarkStart w:id="61" w:name="_Toc28428423"/>
      <w:bookmarkStart w:id="62" w:name="_Toc45632289"/>
      <w:bookmarkStart w:id="63" w:name="_Toc46407086"/>
      <w:bookmarkStart w:id="64" w:name="Bookmark"/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Российская Федерация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65" w:name="_Hlk61817581"/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Республика Дагестан</w:t>
      </w:r>
    </w:p>
    <w:bookmarkEnd w:id="65"/>
    <w:p w:rsidR="00060268" w:rsidRPr="00796988" w:rsidRDefault="0079698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  <w:proofErr w:type="spellStart"/>
      <w:r w:rsidRPr="0079698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Чародинский</w:t>
      </w:r>
      <w:proofErr w:type="spellEnd"/>
      <w:r w:rsidRPr="0079698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060268" w:rsidRPr="00060268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060268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060268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060268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060268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AA6614" w:rsidRPr="00435514" w:rsidRDefault="00AA6614" w:rsidP="00AA6614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  <w:r w:rsidRPr="00435514">
        <w:rPr>
          <w:rFonts w:ascii="Liberation Serif" w:hAnsi="Liberation Serif"/>
          <w:b/>
          <w:sz w:val="28"/>
          <w:szCs w:val="28"/>
        </w:rPr>
        <w:t>ГЕНЕРАЛЬНЫЙ ПЛАН</w:t>
      </w:r>
    </w:p>
    <w:p w:rsidR="00060268" w:rsidRPr="00060268" w:rsidRDefault="00AA6614" w:rsidP="00AA6614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35514">
        <w:rPr>
          <w:rFonts w:ascii="Liberation Serif" w:hAnsi="Liberation Serif"/>
          <w:b/>
          <w:sz w:val="28"/>
          <w:szCs w:val="28"/>
        </w:rPr>
        <w:t>Сельское поселение «сельсовет «</w:t>
      </w:r>
      <w:proofErr w:type="spellStart"/>
      <w:r w:rsidR="00E52B8C">
        <w:rPr>
          <w:rFonts w:ascii="Liberation Serif" w:hAnsi="Liberation Serif"/>
          <w:b/>
          <w:sz w:val="28"/>
          <w:szCs w:val="28"/>
        </w:rPr>
        <w:t>Цурибский</w:t>
      </w:r>
      <w:proofErr w:type="spellEnd"/>
      <w:r w:rsidRPr="00435514">
        <w:rPr>
          <w:rFonts w:ascii="Liberation Serif" w:hAnsi="Liberation Serif"/>
          <w:b/>
          <w:sz w:val="28"/>
          <w:szCs w:val="28"/>
        </w:rPr>
        <w:t>»</w:t>
      </w:r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№</w:t>
      </w:r>
      <w:r w:rsidR="0046739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007 </w:t>
      </w:r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от</w:t>
      </w:r>
      <w:r w:rsidR="00AA661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46739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26</w:t>
      </w:r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  <w:r w:rsidR="0046739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10</w:t>
      </w:r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.202</w:t>
      </w:r>
      <w:r w:rsidR="00AA661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г.</w:t>
      </w:r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Положение о территориальном планировании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 текстовой форме</w:t>
      </w:r>
      <w:r w:rsidRPr="0006026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br/>
      </w:r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0268" w:rsidRPr="00060268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060268" w:rsidP="00060268">
      <w:pPr>
        <w:tabs>
          <w:tab w:val="left" w:pos="-14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060268" w:rsidRDefault="00764B4A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sectPr w:rsidR="00060268" w:rsidRPr="00060268" w:rsidSect="00060268">
          <w:footerReference w:type="firs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 w:rsidRPr="00764B4A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Махачкала</w:t>
      </w:r>
      <w:r w:rsidR="00060268"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, 202</w:t>
      </w:r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060268"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060268"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5C3C2D" w:rsidRPr="005C3C2D" w:rsidRDefault="005C3C2D" w:rsidP="005C3C2D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5C3C2D" w:rsidRPr="005C3C2D" w:rsidRDefault="005C3C2D" w:rsidP="005C3C2D">
      <w:pPr>
        <w:tabs>
          <w:tab w:val="left" w:pos="9072"/>
          <w:tab w:val="right" w:leader="do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988" w:rsidRDefault="005C3C2D">
      <w:pPr>
        <w:pStyle w:val="10"/>
        <w:tabs>
          <w:tab w:val="right" w:leader="dot" w:pos="9488"/>
        </w:tabs>
        <w:rPr>
          <w:rFonts w:eastAsiaTheme="minorEastAsia"/>
          <w:noProof/>
          <w:lang w:eastAsia="ru-RU"/>
        </w:rPr>
      </w:pPr>
      <w:r w:rsidRPr="005C3C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3C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"1-1" \h \z \u </w:instrText>
      </w:r>
      <w:r w:rsidRPr="005C3C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117778680" w:history="1">
        <w:r w:rsidR="00796988" w:rsidRPr="00A9633D">
          <w:rPr>
            <w:rStyle w:val="a8"/>
            <w:rFonts w:ascii="Times New Roman" w:eastAsia="Times New Roman" w:hAnsi="Times New Roman" w:cs="Times New Roman"/>
            <w:b/>
            <w:noProof/>
            <w:lang w:eastAsia="ru-RU"/>
          </w:rPr>
          <w:t>Общие положения</w:t>
        </w:r>
        <w:r w:rsidR="00796988">
          <w:rPr>
            <w:noProof/>
            <w:webHidden/>
          </w:rPr>
          <w:tab/>
        </w:r>
        <w:r w:rsidR="00796988">
          <w:rPr>
            <w:noProof/>
            <w:webHidden/>
          </w:rPr>
          <w:fldChar w:fldCharType="begin"/>
        </w:r>
        <w:r w:rsidR="00796988">
          <w:rPr>
            <w:noProof/>
            <w:webHidden/>
          </w:rPr>
          <w:instrText xml:space="preserve"> PAGEREF _Toc117778680 \h </w:instrText>
        </w:r>
        <w:r w:rsidR="00796988">
          <w:rPr>
            <w:noProof/>
            <w:webHidden/>
          </w:rPr>
        </w:r>
        <w:r w:rsidR="00796988">
          <w:rPr>
            <w:noProof/>
            <w:webHidden/>
          </w:rPr>
          <w:fldChar w:fldCharType="separate"/>
        </w:r>
        <w:r w:rsidR="006876EC">
          <w:rPr>
            <w:noProof/>
            <w:webHidden/>
          </w:rPr>
          <w:t>5</w:t>
        </w:r>
        <w:r w:rsidR="00796988">
          <w:rPr>
            <w:noProof/>
            <w:webHidden/>
          </w:rPr>
          <w:fldChar w:fldCharType="end"/>
        </w:r>
      </w:hyperlink>
    </w:p>
    <w:p w:rsidR="00796988" w:rsidRDefault="006876EC">
      <w:pPr>
        <w:pStyle w:val="10"/>
        <w:tabs>
          <w:tab w:val="right" w:leader="dot" w:pos="9488"/>
        </w:tabs>
        <w:rPr>
          <w:rFonts w:eastAsiaTheme="minorEastAsia"/>
          <w:noProof/>
          <w:lang w:eastAsia="ru-RU"/>
        </w:rPr>
      </w:pPr>
      <w:hyperlink w:anchor="_Toc117778681" w:history="1">
        <w:r w:rsidR="00796988" w:rsidRPr="00A9633D">
          <w:rPr>
            <w:rStyle w:val="a8"/>
            <w:rFonts w:ascii="Times New Roman" w:eastAsia="Times New Roman" w:hAnsi="Times New Roman" w:cs="Times New Roman"/>
            <w:b/>
            <w:noProof/>
            <w:lang w:eastAsia="ru-RU"/>
          </w:rPr>
          <w:t>1. Сведения о видах, назначении и наименованиях планируемых для размещения объектов местного значения Сельского поселения, их основные характеристики, их местоположение, характеристики зон с особыми условиями использования территорий, установление которых требуется в связи с размещением данных объектов</w:t>
        </w:r>
        <w:bookmarkStart w:id="66" w:name="_GoBack"/>
        <w:bookmarkEnd w:id="66"/>
        <w:r w:rsidR="00796988">
          <w:rPr>
            <w:noProof/>
            <w:webHidden/>
          </w:rPr>
          <w:tab/>
        </w:r>
        <w:r w:rsidR="00796988">
          <w:rPr>
            <w:noProof/>
            <w:webHidden/>
          </w:rPr>
          <w:fldChar w:fldCharType="begin"/>
        </w:r>
        <w:r w:rsidR="00796988">
          <w:rPr>
            <w:noProof/>
            <w:webHidden/>
          </w:rPr>
          <w:instrText xml:space="preserve"> PAGEREF _Toc117778681 \h </w:instrText>
        </w:r>
        <w:r w:rsidR="00796988">
          <w:rPr>
            <w:noProof/>
            <w:webHidden/>
          </w:rPr>
        </w:r>
        <w:r w:rsidR="0079698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96988">
          <w:rPr>
            <w:noProof/>
            <w:webHidden/>
          </w:rPr>
          <w:fldChar w:fldCharType="end"/>
        </w:r>
      </w:hyperlink>
    </w:p>
    <w:p w:rsidR="00796988" w:rsidRDefault="006876EC">
      <w:pPr>
        <w:pStyle w:val="10"/>
        <w:tabs>
          <w:tab w:val="right" w:leader="dot" w:pos="9488"/>
        </w:tabs>
        <w:rPr>
          <w:rFonts w:eastAsiaTheme="minorEastAsia"/>
          <w:noProof/>
          <w:lang w:eastAsia="ru-RU"/>
        </w:rPr>
      </w:pPr>
      <w:hyperlink w:anchor="_Toc117778682" w:history="1">
        <w:r w:rsidR="00796988" w:rsidRPr="00A9633D">
          <w:rPr>
            <w:rStyle w:val="a8"/>
            <w:rFonts w:ascii="Times New Roman" w:eastAsia="Times New Roman" w:hAnsi="Times New Roman" w:cs="Times New Roman"/>
            <w:b/>
            <w:noProof/>
            <w:lang w:eastAsia="ru-RU"/>
          </w:rPr>
          <w:t>2. 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796988">
          <w:rPr>
            <w:noProof/>
            <w:webHidden/>
          </w:rPr>
          <w:tab/>
        </w:r>
        <w:r w:rsidR="00796988">
          <w:rPr>
            <w:noProof/>
            <w:webHidden/>
          </w:rPr>
          <w:fldChar w:fldCharType="begin"/>
        </w:r>
        <w:r w:rsidR="00796988">
          <w:rPr>
            <w:noProof/>
            <w:webHidden/>
          </w:rPr>
          <w:instrText xml:space="preserve"> PAGEREF _Toc117778682 \h </w:instrText>
        </w:r>
        <w:r w:rsidR="00796988">
          <w:rPr>
            <w:noProof/>
            <w:webHidden/>
          </w:rPr>
        </w:r>
        <w:r w:rsidR="0079698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796988">
          <w:rPr>
            <w:noProof/>
            <w:webHidden/>
          </w:rPr>
          <w:fldChar w:fldCharType="end"/>
        </w:r>
      </w:hyperlink>
    </w:p>
    <w:p w:rsidR="005C3C2D" w:rsidRPr="005C3C2D" w:rsidRDefault="005C3C2D" w:rsidP="005C3C2D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3C2D" w:rsidRPr="005C3C2D" w:rsidSect="005C3C2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45" w:right="707" w:bottom="1616" w:left="1701" w:header="284" w:footer="510" w:gutter="0"/>
          <w:cols w:space="708"/>
          <w:titlePg/>
          <w:docGrid w:linePitch="360"/>
        </w:sectPr>
      </w:pPr>
      <w:r w:rsidRPr="005C3C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6614" w:rsidRPr="00435514" w:rsidRDefault="00AA6614" w:rsidP="00AA6614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sz w:val="28"/>
          <w:szCs w:val="28"/>
        </w:rPr>
      </w:pPr>
      <w:r w:rsidRPr="00435514">
        <w:rPr>
          <w:rFonts w:ascii="Liberation Serif" w:hAnsi="Liberation Serif"/>
          <w:noProof/>
          <w:sz w:val="28"/>
          <w:szCs w:val="28"/>
        </w:rPr>
        <w:lastRenderedPageBreak/>
        <w:t xml:space="preserve">Авторский коллектив </w:t>
      </w:r>
    </w:p>
    <w:p w:rsidR="00AA6614" w:rsidRDefault="00AA6614" w:rsidP="00AA6614">
      <w:pPr>
        <w:widowControl w:val="0"/>
        <w:snapToGrid w:val="0"/>
        <w:ind w:firstLine="426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AA6614" w:rsidRPr="007D7E4E" w:rsidTr="004C00C6">
        <w:trPr>
          <w:trHeight w:val="454"/>
        </w:trPr>
        <w:tc>
          <w:tcPr>
            <w:tcW w:w="4815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7E4E">
              <w:rPr>
                <w:rFonts w:ascii="Liberation Serif" w:hAnsi="Liberation Serif"/>
                <w:sz w:val="28"/>
                <w:szCs w:val="28"/>
              </w:rPr>
              <w:t>ООО «ЗАК»</w:t>
            </w:r>
          </w:p>
        </w:tc>
        <w:tc>
          <w:tcPr>
            <w:tcW w:w="4536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A6614" w:rsidRPr="007D7E4E" w:rsidTr="004C00C6">
        <w:trPr>
          <w:trHeight w:val="454"/>
        </w:trPr>
        <w:tc>
          <w:tcPr>
            <w:tcW w:w="4815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7E4E">
              <w:rPr>
                <w:rFonts w:ascii="Liberation Serif" w:hAnsi="Liberation Serif"/>
                <w:sz w:val="28"/>
                <w:szCs w:val="28"/>
              </w:rPr>
              <w:t xml:space="preserve">Ген. Директор </w:t>
            </w:r>
          </w:p>
        </w:tc>
        <w:tc>
          <w:tcPr>
            <w:tcW w:w="4536" w:type="dxa"/>
          </w:tcPr>
          <w:p w:rsidR="00AA6614" w:rsidRPr="00620F76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0F76">
              <w:rPr>
                <w:rFonts w:ascii="Liberation Serif" w:hAnsi="Liberation Serif"/>
                <w:sz w:val="28"/>
                <w:szCs w:val="28"/>
              </w:rPr>
              <w:t xml:space="preserve">М. Д. </w:t>
            </w:r>
            <w:proofErr w:type="spellStart"/>
            <w:r w:rsidRPr="00620F76">
              <w:rPr>
                <w:rFonts w:ascii="Liberation Serif" w:hAnsi="Liberation Serif"/>
                <w:sz w:val="28"/>
                <w:szCs w:val="28"/>
              </w:rPr>
              <w:t>Зираров</w:t>
            </w:r>
            <w:proofErr w:type="spellEnd"/>
          </w:p>
        </w:tc>
      </w:tr>
      <w:tr w:rsidR="00AA6614" w:rsidRPr="007D7E4E" w:rsidTr="004C00C6">
        <w:trPr>
          <w:trHeight w:val="454"/>
        </w:trPr>
        <w:tc>
          <w:tcPr>
            <w:tcW w:w="4815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7E4E">
              <w:rPr>
                <w:rFonts w:ascii="Liberation Serif" w:hAnsi="Liberation Serif"/>
                <w:sz w:val="28"/>
                <w:szCs w:val="28"/>
              </w:rPr>
              <w:t>Архитектор - проектировщик</w:t>
            </w:r>
          </w:p>
        </w:tc>
        <w:tc>
          <w:tcPr>
            <w:tcW w:w="4536" w:type="dxa"/>
          </w:tcPr>
          <w:p w:rsidR="00AA6614" w:rsidRPr="00620F76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0F76">
              <w:rPr>
                <w:rFonts w:ascii="Liberation Serif" w:hAnsi="Liberation Serif"/>
                <w:sz w:val="28"/>
                <w:szCs w:val="28"/>
              </w:rPr>
              <w:t xml:space="preserve">Х. М. </w:t>
            </w:r>
            <w:proofErr w:type="spellStart"/>
            <w:r w:rsidRPr="00620F76">
              <w:rPr>
                <w:rFonts w:ascii="Liberation Serif" w:hAnsi="Liberation Serif"/>
                <w:sz w:val="28"/>
                <w:szCs w:val="28"/>
              </w:rPr>
              <w:t>Гантилов</w:t>
            </w:r>
            <w:proofErr w:type="spellEnd"/>
          </w:p>
        </w:tc>
      </w:tr>
      <w:tr w:rsidR="00AA6614" w:rsidRPr="007D7E4E" w:rsidTr="004C00C6">
        <w:trPr>
          <w:trHeight w:val="454"/>
        </w:trPr>
        <w:tc>
          <w:tcPr>
            <w:tcW w:w="4815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7E4E">
              <w:rPr>
                <w:rFonts w:ascii="Liberation Serif" w:hAnsi="Liberation Serif"/>
                <w:sz w:val="28"/>
                <w:szCs w:val="28"/>
              </w:rPr>
              <w:t>Архитектор — градостроитель</w:t>
            </w:r>
          </w:p>
        </w:tc>
        <w:tc>
          <w:tcPr>
            <w:tcW w:w="4536" w:type="dxa"/>
          </w:tcPr>
          <w:p w:rsidR="00AA6614" w:rsidRPr="00620F76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0F76">
              <w:rPr>
                <w:rFonts w:ascii="Liberation Serif" w:hAnsi="Liberation Serif"/>
                <w:sz w:val="28"/>
                <w:szCs w:val="28"/>
              </w:rPr>
              <w:t>Т. А. Дементьева</w:t>
            </w:r>
          </w:p>
        </w:tc>
      </w:tr>
      <w:tr w:rsidR="00AA6614" w:rsidRPr="007D7E4E" w:rsidTr="004C00C6">
        <w:trPr>
          <w:trHeight w:val="454"/>
        </w:trPr>
        <w:tc>
          <w:tcPr>
            <w:tcW w:w="4815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7E4E">
              <w:rPr>
                <w:rFonts w:ascii="Liberation Serif" w:hAnsi="Liberation Serif"/>
                <w:sz w:val="28"/>
                <w:szCs w:val="28"/>
              </w:rPr>
              <w:t>ООО «Кадастровый центр»</w:t>
            </w:r>
          </w:p>
        </w:tc>
        <w:tc>
          <w:tcPr>
            <w:tcW w:w="4536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A6614" w:rsidRPr="007D7E4E" w:rsidTr="004C00C6">
        <w:trPr>
          <w:trHeight w:val="454"/>
        </w:trPr>
        <w:tc>
          <w:tcPr>
            <w:tcW w:w="4815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7E4E">
              <w:rPr>
                <w:rFonts w:ascii="Liberation Serif" w:hAnsi="Liberation Serif"/>
                <w:sz w:val="28"/>
                <w:szCs w:val="28"/>
              </w:rPr>
              <w:t>Ген. директор, К.Т.Н.</w:t>
            </w:r>
          </w:p>
        </w:tc>
        <w:tc>
          <w:tcPr>
            <w:tcW w:w="4536" w:type="dxa"/>
          </w:tcPr>
          <w:p w:rsidR="00AA6614" w:rsidRPr="00620F76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0F76">
              <w:rPr>
                <w:rFonts w:ascii="Liberation Serif" w:hAnsi="Liberation Serif"/>
                <w:sz w:val="28"/>
                <w:szCs w:val="28"/>
              </w:rPr>
              <w:t xml:space="preserve">А. В. </w:t>
            </w:r>
            <w:proofErr w:type="spellStart"/>
            <w:r w:rsidRPr="00620F76">
              <w:rPr>
                <w:rFonts w:ascii="Liberation Serif" w:hAnsi="Liberation Serif"/>
                <w:sz w:val="28"/>
                <w:szCs w:val="28"/>
              </w:rPr>
              <w:t>Рычков</w:t>
            </w:r>
            <w:proofErr w:type="spellEnd"/>
          </w:p>
        </w:tc>
      </w:tr>
      <w:tr w:rsidR="00AA6614" w:rsidRPr="007D7E4E" w:rsidTr="004C00C6">
        <w:trPr>
          <w:trHeight w:val="454"/>
        </w:trPr>
        <w:tc>
          <w:tcPr>
            <w:tcW w:w="4815" w:type="dxa"/>
          </w:tcPr>
          <w:p w:rsidR="00AA6614" w:rsidRPr="007D7E4E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7E4E">
              <w:rPr>
                <w:rFonts w:ascii="Liberation Serif" w:hAnsi="Liberation Serif"/>
                <w:sz w:val="28"/>
                <w:szCs w:val="28"/>
              </w:rPr>
              <w:t>Инженер - геодезист</w:t>
            </w:r>
          </w:p>
        </w:tc>
        <w:tc>
          <w:tcPr>
            <w:tcW w:w="4536" w:type="dxa"/>
          </w:tcPr>
          <w:p w:rsidR="00AA6614" w:rsidRPr="00620F76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0F76">
              <w:rPr>
                <w:rFonts w:ascii="Liberation Serif" w:hAnsi="Liberation Serif"/>
                <w:sz w:val="28"/>
                <w:szCs w:val="28"/>
              </w:rPr>
              <w:t xml:space="preserve">Н.Р. </w:t>
            </w:r>
            <w:proofErr w:type="spellStart"/>
            <w:r w:rsidRPr="00620F76">
              <w:rPr>
                <w:rFonts w:ascii="Liberation Serif" w:hAnsi="Liberation Serif"/>
                <w:sz w:val="28"/>
                <w:szCs w:val="28"/>
              </w:rPr>
              <w:t>Мокерова</w:t>
            </w:r>
            <w:proofErr w:type="spellEnd"/>
          </w:p>
        </w:tc>
      </w:tr>
    </w:tbl>
    <w:p w:rsidR="005C3C2D" w:rsidRPr="005C3C2D" w:rsidRDefault="005C3C2D" w:rsidP="005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2D" w:rsidRPr="005C3C2D" w:rsidRDefault="005C3C2D" w:rsidP="005C3C2D">
      <w:pPr>
        <w:keepNext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67" w:name="_Toc117778680"/>
      <w:r w:rsidRPr="005C3C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Общие положения</w:t>
      </w:r>
      <w:bookmarkEnd w:id="67"/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bookmarkStart w:id="68" w:name="_Hlk61817761"/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Градостроительным кодексом Российской Федерации</w:t>
      </w:r>
      <w:bookmarkEnd w:id="68"/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объекты федерального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</w:t>
      </w:r>
      <w:hyperlink r:id="rId13" w:history="1">
        <w:r w:rsidRPr="00060268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Конституцией</w:t>
        </w:r>
      </w:hyperlink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Федерации;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объекты регионального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</w:t>
      </w:r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органов государственной власти </w:t>
      </w:r>
      <w:r w:rsidR="00AF16F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14" w:history="1">
        <w:r w:rsidRPr="00060268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Конституцией</w:t>
        </w:r>
      </w:hyperlink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Уставом </w:t>
      </w:r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законами </w:t>
      </w:r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решениями высшего исполнительного органа государственной власти </w:t>
      </w:r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 оказывают существенное влияние на социально-экономическое развитие </w:t>
      </w:r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</w:t>
      </w:r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Уставом </w:t>
      </w:r>
      <w:proofErr w:type="spellStart"/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Чародинского</w:t>
      </w:r>
      <w:proofErr w:type="spellEnd"/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района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оказывают существенное влияние на социально-экономическое развитие </w:t>
      </w:r>
      <w:proofErr w:type="spellStart"/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Чародинского</w:t>
      </w:r>
      <w:proofErr w:type="spellEnd"/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района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Виды объектов местного значения </w:t>
      </w:r>
      <w:r w:rsid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указанных в </w:t>
      </w:r>
      <w:hyperlink w:anchor="Par1033" w:tooltip="1) планируемые для размещения объекты местного значения поселения, городского округа, относящиеся к следующим областям:" w:history="1">
        <w:r w:rsidRPr="00060268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пункте </w:t>
        </w:r>
        <w:r w:rsidRPr="00060268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lastRenderedPageBreak/>
          <w:t>1 части 5 статьи 23</w:t>
        </w:r>
      </w:hyperlink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Градостроительного кодекса Российской Федерации областях, подлежащих отображению на генеральном плане </w:t>
      </w:r>
      <w:r w:rsidR="00AF16F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 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</w:t>
      </w:r>
      <w:hyperlink r:id="rId15" w:history="1">
        <w:r w:rsidRPr="00060268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решений</w:t>
        </w:r>
      </w:hyperlink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реализации таких решений. 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части, противоречащей утвержденным документам территориального планирования Российской Федерации, со дня утверждения. Документы территориального планирования муниципальных образований не подлежат применению в части, противоречащей утвержденным документам территориального планирования двух и более субъектов Российской Федерации, документам территориального планирования субъекта Российской Федерации, со дня утверждения.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69" w:name="Par611"/>
      <w:bookmarkEnd w:id="69"/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Подготовка </w:t>
      </w:r>
      <w:bookmarkStart w:id="70" w:name="_Hlk61818388"/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проекта Генерального плана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 «сельсовет «</w:t>
      </w:r>
      <w:proofErr w:type="spellStart"/>
      <w:r w:rsidR="00E52B8C" w:rsidRPr="00E52B8C">
        <w:rPr>
          <w:rFonts w:ascii="Liberation Serif" w:hAnsi="Liberation Serif"/>
          <w:sz w:val="28"/>
          <w:szCs w:val="28"/>
        </w:rPr>
        <w:t>Цурибский</w:t>
      </w:r>
      <w:proofErr w:type="spellEnd"/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End w:id="70"/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осуществлена с учетом положений стратегии социально-экономического развития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плана мероприятий по её реализации, бюджетного прогноза муниципального образования на долгосрочный период (при наличии), положений стратегии пространственного развития Российской Федерации, государственных программ Российской Федерации, национальных проектов, государственных программ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муниципальных программ, инвестиционных программ субъектов естественных монополий, организаций коммунального комплекса,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планирования. Подготовка проекта Генерального плана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осуществлена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Генеральном плане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сельского поселения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с учетом предложений заинтересованных лиц. Подготовка проекта Генерального плана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сельского поселения </w:t>
      </w:r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«сельсовет «</w:t>
      </w:r>
      <w:proofErr w:type="spellStart"/>
      <w:r w:rsidR="00E52B8C" w:rsidRPr="00E52B8C">
        <w:rPr>
          <w:rFonts w:ascii="Liberation Serif" w:hAnsi="Liberation Serif"/>
          <w:sz w:val="28"/>
          <w:szCs w:val="28"/>
        </w:rPr>
        <w:t>Цурибский</w:t>
      </w:r>
      <w:proofErr w:type="spellEnd"/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 в соответствии с требованиями </w:t>
      </w:r>
      <w:hyperlink w:anchor="Par585" w:tooltip="Статья 9. Общие положения о документах территориального планирования" w:history="1">
        <w:r w:rsidRPr="00060268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статьи 9</w:t>
        </w:r>
      </w:hyperlink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5C3C2D" w:rsidRPr="00060268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Подготовка Генерального плана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сельского поселения </w:t>
      </w:r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«сельсовет «</w:t>
      </w:r>
      <w:proofErr w:type="spellStart"/>
      <w:r w:rsidR="00E52B8C" w:rsidRPr="00E52B8C">
        <w:rPr>
          <w:rFonts w:ascii="Liberation Serif" w:hAnsi="Liberation Serif"/>
          <w:sz w:val="28"/>
          <w:szCs w:val="28"/>
        </w:rPr>
        <w:t>Цурибский</w:t>
      </w:r>
      <w:proofErr w:type="spellEnd"/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осуществлена применительно ко всей территории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C2D" w:rsidRPr="005C3C2D" w:rsidRDefault="005C3C2D" w:rsidP="00060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Генеральный план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сельского поселения </w:t>
      </w:r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«сельсовет «</w:t>
      </w:r>
      <w:proofErr w:type="spellStart"/>
      <w:r w:rsidR="00E52B8C" w:rsidRPr="00E52B8C">
        <w:rPr>
          <w:rFonts w:ascii="Liberation Serif" w:hAnsi="Liberation Serif"/>
          <w:sz w:val="28"/>
          <w:szCs w:val="28"/>
        </w:rPr>
        <w:t>Цурибский</w:t>
      </w:r>
      <w:proofErr w:type="spellEnd"/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0602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содержит: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положение о территориальном планировании;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71" w:name="Par1026"/>
      <w:bookmarkEnd w:id="71"/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карту планируемого размещения объектов местного значения </w:t>
      </w:r>
      <w:r w:rsidR="00AF16F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карту границ населенных пунктов, входящих в состав </w:t>
      </w:r>
      <w:r w:rsidR="00AF16F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72" w:name="Par1028"/>
      <w:bookmarkEnd w:id="72"/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карту функциональных зон </w:t>
      </w:r>
      <w:r w:rsidR="00AF16F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Положение о территориальном планировании, содержащееся в генеральном плане, включает в себя: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поселения и муниципального района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картах, содержащихся в генеральном плане, соответственно отображены: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73" w:name="Par1033"/>
      <w:bookmarkEnd w:id="73"/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планируемые для размещения объекты местного значения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поселения и муниципального района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относящиеся к следующим областям: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а) электро-, тепло-, газо- и водоснабжение населения, водоотведение;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б) автомобильные дороги местного значения;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г) иные области в связи с решением вопросов местного значения поселения,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района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2) границы населенных пунктов, входящих в состав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установлены Приказом Минэкономразвития России от 9 января 2018 г. № 10.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Обязательным приложением к генеральному плану являются сведения о границах населенных пунктов, входящих в состав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которые содержат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5C3C2D" w:rsidRPr="007D510F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5C3C2D" w:rsidRPr="007D51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Генеральный план </w:t>
      </w:r>
      <w:r w:rsid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сельского поселения </w:t>
      </w:r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«сельсовет «</w:t>
      </w:r>
      <w:proofErr w:type="spellStart"/>
      <w:r w:rsidR="00E52B8C" w:rsidRPr="00E52B8C">
        <w:rPr>
          <w:rFonts w:ascii="Liberation Serif" w:hAnsi="Liberation Serif"/>
          <w:sz w:val="28"/>
          <w:szCs w:val="28"/>
        </w:rPr>
        <w:t>Цурибский</w:t>
      </w:r>
      <w:proofErr w:type="spellEnd"/>
      <w:r w:rsidR="00AA6614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7D51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утверждается на срок двадцать</w:t>
      </w:r>
      <w:r w:rsidR="00AF16F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лет.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235"/>
        <w:gridCol w:w="2220"/>
        <w:gridCol w:w="1920"/>
        <w:gridCol w:w="1515"/>
        <w:gridCol w:w="3270"/>
        <w:gridCol w:w="2685"/>
      </w:tblGrid>
      <w:tr w:rsidR="00AF16F1" w:rsidRPr="003504CB" w:rsidTr="009409F9">
        <w:trPr>
          <w:trHeight w:val="915"/>
        </w:trPr>
        <w:tc>
          <w:tcPr>
            <w:tcW w:w="14265" w:type="dxa"/>
            <w:gridSpan w:val="7"/>
            <w:shd w:val="clear" w:color="auto" w:fill="auto"/>
          </w:tcPr>
          <w:p w:rsidR="00AF16F1" w:rsidRPr="003504CB" w:rsidRDefault="00AF16F1" w:rsidP="009409F9">
            <w:pPr>
              <w:keepNext/>
              <w:pageBreakBefore/>
              <w:spacing w:after="0" w:line="240" w:lineRule="auto"/>
              <w:ind w:firstLine="567"/>
              <w:outlineLvl w:val="0"/>
              <w:rPr>
                <w:rFonts w:ascii="Times New Roman" w:eastAsia="Calibri" w:hAnsi="Times New Roman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bookmarkStart w:id="74" w:name="_Toc117778681"/>
            <w:r w:rsidRPr="007D510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1. Сведения о видах, назначении и наименованиях планируемых для размещения объектов местного значения Сельского поселения, их основные характеристики, их местоположение, характеристики зон с особыми условиями использования территорий, установление которых требуется в связи с размещением данных объектов</w:t>
            </w:r>
            <w:bookmarkEnd w:id="74"/>
          </w:p>
        </w:tc>
      </w:tr>
      <w:tr w:rsidR="00AF16F1" w:rsidRPr="003504CB" w:rsidTr="009409F9">
        <w:trPr>
          <w:trHeight w:val="13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455727" w:rsidRDefault="00AF16F1" w:rsidP="0094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455727" w:rsidRDefault="00AF16F1" w:rsidP="0094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455727" w:rsidRDefault="00AF16F1" w:rsidP="0094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Номер согласно Положению о территориальном планировании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455727" w:rsidRDefault="00AF16F1" w:rsidP="0094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455727" w:rsidRDefault="00AF16F1" w:rsidP="0094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Статус объекта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455727" w:rsidRDefault="00AF16F1" w:rsidP="0094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455727" w:rsidRDefault="00AF16F1" w:rsidP="0094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Зоны с особыми условиями использования территорий, установление которых требуется в связи с размещением объектов местного значения</w:t>
            </w:r>
          </w:p>
        </w:tc>
      </w:tr>
    </w:tbl>
    <w:p w:rsidR="003504CB" w:rsidRDefault="003504CB" w:rsidP="003504CB">
      <w:pPr>
        <w:spacing w:after="0" w:line="45" w:lineRule="exact"/>
        <w:rPr>
          <w:rFonts w:ascii="Calibri" w:eastAsia="Calibri" w:hAnsi="Calibri" w:cs="Calibri"/>
          <w:szCs w:val="20"/>
          <w:lang w:eastAsia="ru-RU"/>
        </w:rPr>
      </w:pPr>
    </w:p>
    <w:p w:rsidR="00AF16F1" w:rsidRPr="003504CB" w:rsidRDefault="00AF16F1" w:rsidP="003504CB">
      <w:pPr>
        <w:spacing w:after="0" w:line="45" w:lineRule="exact"/>
        <w:rPr>
          <w:rFonts w:ascii="Calibri" w:eastAsia="Calibri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235"/>
        <w:gridCol w:w="2220"/>
        <w:gridCol w:w="1920"/>
        <w:gridCol w:w="1515"/>
        <w:gridCol w:w="3270"/>
        <w:gridCol w:w="2685"/>
      </w:tblGrid>
      <w:tr w:rsidR="00467395" w:rsidRPr="00455727" w:rsidTr="00A33ADE">
        <w:trPr>
          <w:trHeight w:val="3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1.1.Улично-дорожная сеть сельского населенного пункта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1.1.1.Улично-дорожная сеть сельского населенного пункта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602030503 - Улица в жилой застройке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Планируемый к 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Планируемый к 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Гидибская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Планируемый к 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ул. Курбанова Асхабали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Планируемый к 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улично дорожной сети;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Планируемый к 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Планируемый к 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Улица в жилой застройке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покрытия (проектный): Усовершенствованный.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1.2.Распределительные трубопроводы для транспортировки газа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1.2.1.Распределительные трубопроводы для транспортировки газа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602040601 - Газопровод распределительный высокого давления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Газопровод распределительный высокого давления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Протяженность: 6,813;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расположения трубопровода: Подземный;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Назначение объекта: объект сети газоснабжения.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Газопровод распределительный высокого давления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Протяженность: 4,435;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расположения трубопровода: Подземный;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Назначение объекта: объект сети газоснабжения.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Газопровод распределительный высокого давления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Протяженность: 0,508;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расположения трубопровода: Подземный;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Назначение объекта: объект сети газоснабжения.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1.3.Места погребения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1.3.1.Места погребения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602050301 - Кладбище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Зоны специального назначения.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Класс опасности объекта в соответствии с санитарной классификацией: IV класс опасности объекта;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Тип кладбища : Общественное;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Классификация кладбища в соответствии с санитарной классификацией: Сельское кладбище;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Статус кладбища : Действующее.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1.4.Объекты культуры и искусства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1.4.1.Объекты культуры и искусства</w:t>
            </w:r>
          </w:p>
        </w:tc>
      </w:tr>
      <w:tr w:rsidR="00467395" w:rsidRPr="00455727" w:rsidTr="00A33ADE">
        <w:trPr>
          <w:trHeight w:val="30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602010201 - Объект культурно-просветительного назначения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Объект культурно-просветительного назначения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ул. Абдулмеджидова, 1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Общественно-деловые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Подтип объекта культурно-просветительного назначения: Библиотека, ее филиал;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Фонды библиотек: 20;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Назначение объекта: объект культуры.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Объект культурно-просветительного назначения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культуры.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1.5.Объекты автомобильного пассажирского транспорта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1.5.1.Объекты автомобильного пассажирского транспорта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602030702 - Автостанция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Автостанция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пассажарского транспорта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1.6.Объекты здравоохранения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1.6.1.Объекты здравоохранения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602010407 - Медицинская организация, оказывающая скорую медицинскую помощь, ее структурное подразделение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Медицинская организация, оказывающая скорую медицинскую помощь, ее структурное подразделение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Общественно-деловые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здравоохранения;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медицинской организации, оказывающей скорую медицинскую помощь, ее структурного подразделения: Станция (подстанция) скорой медицинской помощи;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Число автомобилей скорой медицинской помощи, единиц автомобилей: 1.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tab/>
              <w:t>1.7.Объекты единой государственной системы предупреждения и ликвидации чрезвычайных ситуаций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1.7.1.Объекты единой государственной системы предупреждения и ликвидации чрезвычайных ситуаций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602050205 - Объекты информирования и оповещения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Объекты информирования и оповещения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Общественно-деловые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Единой государственной системы предпреждения и ликвидации ЧС;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Система оповещения населения: Муниципальные системы оповещения.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Объекты информирования и оповещения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Зоны сельскохозяйственного использования.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государственной системы предпреждения и ликвидации ЧС;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Система оповещения населения: Муниципальные системы оповещения.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Объекты информирования и оповещения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государственной системы предпреждения и ликвидации ЧС;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Система оповещения населения: Муниципальные системы оповещения.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Объекты информирования и оповещения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Зоны сельскохозяйственного использования.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государственной системы предпреждения и ликвидации ЧС;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Система оповещения населения: Муниципальные системы оповещения.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602050206 - Иные объекты единой государственной системы предупреждения и ликвидации чрезвычайных ситуаций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Искусственный пожарный водоем (резервуар)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государственной системы предпреждения и ликвидации ЧС.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Иные объекты единой государственной системы предупреждения и ликвидации чрезвычайных ситуаций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Зоны сельскохозяйственного использования.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государственной системы предпреждения и ликвидации ЧС.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Иные объекты единой государственной системы предупреждения и ликвидации чрезвычайных ситуаций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государственной системы предпреждения и ликвидации ЧС.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1.8.Объекты обслуживания и хранения автомобильного транспорта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1.8.1.Объекты обслуживания и хранения автомобильного транспорта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602030901 - Станция автозаправочная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Станция автозаправочная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Зона транспортной инфраструктуры.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Тип автозаправочных станций: Автозаправочная станция (традиционная);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Количество топливораздаточных колонок автозаправочных станций: 2.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1.9.Объекты физической культуры и массового спорта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ab/>
              <w:t>1.9.1.Объекты физической культуры и массового спорта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602010301 - Объект спорта, включающий раздельно нормируемые спортивные сооружения (объекты) (в т. ч. физкультурно-оздоровительный комплекс)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спорта.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1.10.Объекты образования и науки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1.10.1.Объекты образования и науки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602010102 - Общеобразовательная организация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Зоны сельскохозяйственного использования.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образования;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Подтип общеобразовательной организации: Начального общего, основного общего и среднего общего образования;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Тип образовательных программ, дополняющих основную деятельность организации: Реализующая программы дошкольного образования и программы профессионального обучения.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Назначение объекта: объект образования;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Подтип общеобразовательной организации: Начального общего, основного общего и среднего общего образования;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Тип образовательных программ, дополняющих основную деятельность организации: Реализующая программы дошкольного образования и программы профессионального обучения.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Установление не требуется.</w:t>
            </w:r>
          </w:p>
        </w:tc>
      </w:tr>
      <w:tr w:rsidR="00467395" w:rsidRPr="00455727" w:rsidTr="00A33ADE">
        <w:trPr>
          <w:trHeight w:val="30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602010101 - Дошкольная образовательная организация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Назначение объекта: объект образования.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rPr>
          <w:trHeight w:val="5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1.11.Автомобильные дороги</w:t>
            </w:r>
          </w:p>
        </w:tc>
      </w:tr>
      <w:tr w:rsidR="00467395" w:rsidRPr="00455727" w:rsidTr="00A33ADE">
        <w:trPr>
          <w:trHeight w:val="570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1.11.1.Автомобильные дороги</w:t>
            </w:r>
          </w:p>
        </w:tc>
      </w:tr>
      <w:tr w:rsidR="00467395" w:rsidRPr="00455727" w:rsidTr="00A33ADE">
        <w:trPr>
          <w:trHeight w:val="285"/>
        </w:trPr>
        <w:tc>
          <w:tcPr>
            <w:tcW w:w="14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602030303 - Автомобильные дороги местного значения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зоны,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Общественно-деловые зоны,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Зоны сельскохозяйственного использования,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Зоны рекреационного назначения.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разрешенного использования: Общего пользования;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Период функционирования дороги: Круглогодичное функционирование (вне зависимости от сезонно-климатических условий);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Категория автомобильной дороги (проектная): V;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Низший.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95" w:rsidRPr="00455727" w:rsidTr="00A33AD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Жилые зоны,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Зоны сельскохозяйственного использования.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реконструкции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разрешенного использования: Общего пользования;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Период функционирования дороги: Круглогодичное функционирование (вне зависимости от сезонно-климатических условий);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Категория автомобильной дороги (проектная): V;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покрытия (проектный): Низший.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</w:tbl>
    <w:p w:rsidR="00D46470" w:rsidRDefault="00D46470">
      <w:pPr>
        <w:rPr>
          <w:rFonts w:ascii="Calibri" w:eastAsia="Calibri" w:hAnsi="Calibri" w:cs="Calibri"/>
          <w:sz w:val="28"/>
          <w:szCs w:val="28"/>
          <w:lang w:eastAsia="ru-RU"/>
        </w:rPr>
      </w:pPr>
    </w:p>
    <w:p w:rsidR="00D46470" w:rsidRPr="00D46470" w:rsidRDefault="00D46470">
      <w:pPr>
        <w:rPr>
          <w:rFonts w:ascii="Calibri" w:eastAsia="Calibri" w:hAnsi="Calibri" w:cs="Calibri"/>
          <w:sz w:val="28"/>
          <w:szCs w:val="28"/>
          <w:lang w:eastAsia="ru-RU"/>
        </w:rPr>
      </w:pPr>
      <w:r w:rsidRPr="00D46470">
        <w:rPr>
          <w:rFonts w:ascii="Calibri" w:eastAsia="Calibri" w:hAnsi="Calibri" w:cs="Calibri"/>
          <w:sz w:val="28"/>
          <w:szCs w:val="28"/>
          <w:lang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640"/>
        <w:gridCol w:w="2070"/>
        <w:gridCol w:w="4185"/>
        <w:gridCol w:w="1305"/>
        <w:gridCol w:w="3645"/>
      </w:tblGrid>
      <w:tr w:rsidR="003504CB" w:rsidRPr="003504CB" w:rsidTr="00060268">
        <w:trPr>
          <w:trHeight w:val="675"/>
        </w:trPr>
        <w:tc>
          <w:tcPr>
            <w:tcW w:w="14265" w:type="dxa"/>
            <w:gridSpan w:val="6"/>
            <w:shd w:val="clear" w:color="auto" w:fill="auto"/>
          </w:tcPr>
          <w:p w:rsidR="003504CB" w:rsidRPr="003504CB" w:rsidRDefault="003504CB" w:rsidP="00AF16F1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3504CB">
              <w:rPr>
                <w:rFonts w:ascii="Times New Roman" w:eastAsia="Calibri" w:hAnsi="Times New Roman" w:cs="Times New Roman"/>
                <w:b/>
                <w:noProof/>
                <w:color w:val="000000"/>
                <w:sz w:val="25"/>
                <w:szCs w:val="25"/>
                <w:lang w:eastAsia="ru-RU"/>
              </w:rPr>
              <w:lastRenderedPageBreak/>
              <w:tab/>
            </w:r>
            <w:bookmarkStart w:id="75" w:name="_Toc117778682"/>
            <w:r w:rsidRPr="00AF16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 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bookmarkEnd w:id="75"/>
          </w:p>
        </w:tc>
      </w:tr>
      <w:tr w:rsidR="003504CB" w:rsidRPr="003504CB" w:rsidTr="00060268">
        <w:trPr>
          <w:trHeight w:val="12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455727" w:rsidRDefault="003504CB" w:rsidP="003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455727" w:rsidRDefault="003504CB" w:rsidP="003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455727" w:rsidRDefault="003504CB" w:rsidP="003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Статус объекта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455727" w:rsidRDefault="003504CB" w:rsidP="003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455727" w:rsidRDefault="003504CB" w:rsidP="003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455727" w:rsidRDefault="003504CB" w:rsidP="0035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Планируемые для размещения объекты федерального, регионального и местного значения</w:t>
            </w:r>
          </w:p>
        </w:tc>
      </w:tr>
    </w:tbl>
    <w:p w:rsidR="003504CB" w:rsidRPr="003504CB" w:rsidRDefault="003504CB" w:rsidP="003504CB">
      <w:pPr>
        <w:spacing w:after="0" w:line="60" w:lineRule="exact"/>
        <w:rPr>
          <w:rFonts w:ascii="Calibri" w:eastAsia="Calibri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640"/>
        <w:gridCol w:w="2070"/>
        <w:gridCol w:w="4185"/>
        <w:gridCol w:w="1305"/>
        <w:gridCol w:w="3645"/>
      </w:tblGrid>
      <w:tr w:rsidR="00467395" w:rsidRPr="00467395" w:rsidTr="00A33AD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7395" w:rsidRPr="00467395" w:rsidTr="00A33ADE">
        <w:trPr>
          <w:trHeight w:val="300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701010100 - Жилые зоны</w:t>
            </w:r>
          </w:p>
        </w:tc>
      </w:tr>
      <w:tr w:rsidR="00467395" w:rsidRPr="00467395" w:rsidTr="002D02B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Гидиб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Максимальная этажность жилой застройки зоны: 3 надземных этажа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застройки*: 0,4-1,5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застройки*: 0,2-0,5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2D02B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2D02BE">
        <w:trPr>
          <w:trHeight w:val="9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Мощоб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602050205 - Объекты информирования и оповещения</w:t>
            </w:r>
          </w:p>
        </w:tc>
      </w:tr>
      <w:tr w:rsidR="00467395" w:rsidRPr="00467395" w:rsidTr="002D02BE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2D02BE">
        <w:trPr>
          <w:trHeight w:val="25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Содаб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602010101 - Дошкольная образовательная организация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602010201 - Объект культурно-просветительного назначения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602010102 - Общеобразовательная организация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602050206 - Иные объекты единой государственной системы предупреждения и ликвидации чрезвычайных ситуаций</w:t>
            </w:r>
          </w:p>
        </w:tc>
      </w:tr>
      <w:tr w:rsidR="00467395" w:rsidRPr="00467395" w:rsidTr="002D02B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2D02BE">
        <w:trPr>
          <w:trHeight w:val="9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Иное значение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602020201 - Цех по переработке овощей и фруктов</w:t>
            </w:r>
          </w:p>
        </w:tc>
      </w:tr>
      <w:tr w:rsidR="00467395" w:rsidRPr="00467395" w:rsidTr="002D02BE">
        <w:trPr>
          <w:trHeight w:val="31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Региональное значение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2)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602030702 - Автостанция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602050206 - Искусственный пожарный водоем (резервуар)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602010301 - Объект спорта, включающий раздельно нормируемые спортивные сооружения (объекты) (в т. ч. физкультурно-оздоровительный комплекс)</w:t>
            </w:r>
          </w:p>
        </w:tc>
      </w:tr>
      <w:tr w:rsidR="00467395" w:rsidRPr="00467395" w:rsidTr="00A33ADE">
        <w:trPr>
          <w:trHeight w:val="300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701010400 - Производственные зоны, зоны инженерной и транспортной инфраструктур</w:t>
            </w:r>
          </w:p>
        </w:tc>
      </w:tr>
      <w:tr w:rsidR="00467395" w:rsidRPr="00467395" w:rsidTr="00A33AD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A33ADE">
        <w:trPr>
          <w:trHeight w:val="285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701010405 - Зона транспортной инфраструктуры</w:t>
            </w:r>
          </w:p>
        </w:tc>
      </w:tr>
      <w:tr w:rsidR="00467395" w:rsidRPr="00467395" w:rsidTr="00C00DB1">
        <w:trPr>
          <w:trHeight w:val="7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Вид зоны транспортной инфраструктуры: Зона объектов автомобильного транспорта.</w:t>
            </w:r>
          </w:p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не установлен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не установлен</w:t>
            </w:r>
          </w:p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602030901 - Станция автозаправочная</w:t>
            </w:r>
          </w:p>
        </w:tc>
      </w:tr>
      <w:tr w:rsidR="00467395" w:rsidRPr="00467395" w:rsidTr="00C00DB1">
        <w:trPr>
          <w:trHeight w:val="5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C00DB1">
        <w:trPr>
          <w:trHeight w:val="5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C00DB1">
        <w:trPr>
          <w:trHeight w:val="5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C00DB1">
        <w:trPr>
          <w:trHeight w:val="5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C00DB1">
        <w:trPr>
          <w:trHeight w:val="51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C00DB1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A33ADE">
        <w:trPr>
          <w:trHeight w:val="300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701010300 - Общественно-деловые зоны</w:t>
            </w:r>
          </w:p>
        </w:tc>
      </w:tr>
      <w:tr w:rsidR="00467395" w:rsidRPr="00467395" w:rsidTr="00F85DB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Содаб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Максимальная этажность жилой застройки зоны: 3 надземных этажа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2,4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0,8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F85DB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F85DB2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F85DB2">
        <w:trPr>
          <w:trHeight w:val="11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Региональное значение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602050201 - Защитное сооружение гражданской обороны (противорадиационное укрытие)</w:t>
            </w:r>
          </w:p>
        </w:tc>
      </w:tr>
      <w:tr w:rsidR="00467395" w:rsidRPr="00467395" w:rsidTr="008D1C6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D1C6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D1C6E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D1C6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D1C6E">
        <w:trPr>
          <w:trHeight w:val="9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602010201 - Объект культурно-просветительного назначения</w:t>
            </w:r>
          </w:p>
        </w:tc>
      </w:tr>
      <w:tr w:rsidR="00467395" w:rsidRPr="00467395" w:rsidTr="008D1C6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D1C6E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D1C6E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Гидиб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D1C6E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D1C6E">
        <w:trPr>
          <w:trHeight w:val="16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602010407 - Медицинская организация, оказывающая скорую медицинскую помощь, ее структурное подразделение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602050205 - Объекты информирования и оповещения</w:t>
            </w:r>
          </w:p>
        </w:tc>
      </w:tr>
      <w:tr w:rsidR="00467395" w:rsidRPr="00467395" w:rsidTr="00A33ADE">
        <w:trPr>
          <w:trHeight w:val="285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t>701010600 - Зоны рекреационного назначения</w:t>
            </w:r>
          </w:p>
        </w:tc>
      </w:tr>
      <w:tr w:rsidR="00467395" w:rsidRPr="00467395" w:rsidTr="00EB330B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не установлен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не установлен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133,93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EB330B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СП Цурибский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EB330B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СП Цурибский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EB330B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СП Цурибский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A33ADE">
        <w:trPr>
          <w:trHeight w:val="285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701010703 - Зона озелененных территорий специального назначения</w:t>
            </w:r>
          </w:p>
        </w:tc>
      </w:tr>
      <w:tr w:rsidR="00467395" w:rsidRPr="00467395" w:rsidTr="00830F48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не установлен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не установлен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30F48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830F48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A33ADE">
        <w:trPr>
          <w:trHeight w:val="300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701010700 - Зоны специального назначения</w:t>
            </w:r>
          </w:p>
        </w:tc>
      </w:tr>
      <w:tr w:rsidR="00467395" w:rsidRPr="00467395" w:rsidTr="00A33ADE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Для всех типов кладбищ площадь мест захоронения должна составлять не менее 65-75% от общей площади кладбища, а площадь зелёных насаждений не менее 25%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602050301 - Кладбище</w:t>
            </w:r>
          </w:p>
        </w:tc>
      </w:tr>
      <w:tr w:rsidR="00467395" w:rsidRPr="00467395" w:rsidTr="00A33ADE">
        <w:trPr>
          <w:trHeight w:val="300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701010500 - Зоны сельскохозяйственного использования</w:t>
            </w:r>
          </w:p>
        </w:tc>
      </w:tr>
      <w:tr w:rsidR="00467395" w:rsidRPr="00467395" w:rsidTr="00607F12">
        <w:trPr>
          <w:trHeight w:val="25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СП Цурибский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не установлен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не установлен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645,88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Региональное значение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2)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602050205 - Объекты информирования и оповещения</w:t>
            </w:r>
          </w:p>
        </w:tc>
      </w:tr>
      <w:tr w:rsidR="00467395" w:rsidRPr="00467395" w:rsidTr="001F4964">
        <w:trPr>
          <w:trHeight w:val="31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СП Цурибский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785,32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 Региональное значение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2) Местное значение поселения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602050206 - Иные объекты единой государственной системы предупреждения и ликвидации чрезвычайных ситуаций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602050205 - Объекты информирования и оповещения</w:t>
            </w: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602010102 - Общеобразовательная организация</w:t>
            </w:r>
          </w:p>
        </w:tc>
      </w:tr>
      <w:tr w:rsidR="00467395" w:rsidRPr="00467395" w:rsidTr="001F4964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A33ADE">
        <w:trPr>
          <w:trHeight w:val="285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701010900 - Зона акваторий</w:t>
            </w:r>
          </w:p>
        </w:tc>
      </w:tr>
      <w:tr w:rsidR="00467395" w:rsidRPr="00467395" w:rsidTr="00411E88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СП Цурибский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не установлен</w:t>
            </w:r>
          </w:p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не установлен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95" w:rsidRPr="00467395" w:rsidTr="00411E88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СП Цурибский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95" w:rsidRPr="00455727" w:rsidRDefault="00467395" w:rsidP="0046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95" w:rsidRPr="00455727" w:rsidRDefault="00467395" w:rsidP="004673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5572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</w:tbl>
    <w:p w:rsidR="007F1F97" w:rsidRDefault="007F1F97">
      <w:pPr>
        <w:rPr>
          <w:rFonts w:ascii="Calibri" w:eastAsia="Calibri" w:hAnsi="Calibri" w:cs="Calibri"/>
          <w:szCs w:val="20"/>
          <w:lang w:eastAsia="ru-RU"/>
        </w:rPr>
      </w:pPr>
      <w:r>
        <w:rPr>
          <w:rFonts w:ascii="Calibri" w:eastAsia="Calibri" w:hAnsi="Calibri" w:cs="Calibri"/>
          <w:szCs w:val="20"/>
          <w:lang w:eastAsia="ru-RU"/>
        </w:rPr>
        <w:br w:type="page"/>
      </w: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right"/>
      </w:pPr>
    </w:p>
    <w:p w:rsidR="007F1F97" w:rsidRPr="007F1F97" w:rsidRDefault="007F1F97" w:rsidP="007F1F97">
      <w:pPr>
        <w:jc w:val="center"/>
        <w:rPr>
          <w:rFonts w:ascii="Liberation Serif" w:hAnsi="Liberation Serif"/>
          <w:sz w:val="32"/>
          <w:szCs w:val="32"/>
        </w:rPr>
      </w:pPr>
      <w:r w:rsidRPr="007F1F97">
        <w:rPr>
          <w:rFonts w:ascii="Liberation Serif" w:hAnsi="Liberation Serif"/>
          <w:sz w:val="32"/>
          <w:szCs w:val="32"/>
        </w:rPr>
        <w:t>Приложение 1</w:t>
      </w:r>
    </w:p>
    <w:p w:rsidR="007F1F97" w:rsidRPr="007F1F97" w:rsidRDefault="007F1F97" w:rsidP="007F1F97">
      <w:pPr>
        <w:jc w:val="center"/>
        <w:rPr>
          <w:rFonts w:ascii="Liberation Serif" w:hAnsi="Liberation Serif"/>
          <w:sz w:val="32"/>
          <w:szCs w:val="32"/>
        </w:rPr>
      </w:pPr>
      <w:r w:rsidRPr="007F1F97">
        <w:rPr>
          <w:rFonts w:ascii="Liberation Serif" w:hAnsi="Liberation Serif"/>
          <w:sz w:val="32"/>
          <w:szCs w:val="32"/>
        </w:rPr>
        <w:t>Положение о территориальном планировании</w:t>
      </w:r>
    </w:p>
    <w:p w:rsidR="00BC42BB" w:rsidRPr="004E0869" w:rsidRDefault="00BC42BB" w:rsidP="004E0869">
      <w:pPr>
        <w:jc w:val="right"/>
      </w:pPr>
    </w:p>
    <w:sectPr w:rsidR="00BC42BB" w:rsidRPr="004E0869">
      <w:pgSz w:w="16833" w:h="11908"/>
      <w:pgMar w:top="1132" w:right="849" w:bottom="1132" w:left="16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7F" w:rsidRDefault="00C4197F" w:rsidP="005C3C2D">
      <w:pPr>
        <w:spacing w:after="0" w:line="240" w:lineRule="auto"/>
      </w:pPr>
      <w:r>
        <w:separator/>
      </w:r>
    </w:p>
  </w:endnote>
  <w:endnote w:type="continuationSeparator" w:id="0">
    <w:p w:rsidR="00C4197F" w:rsidRDefault="00C4197F" w:rsidP="005C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68" w:rsidRDefault="00060268">
    <w:pPr>
      <w:pStyle w:val="a5"/>
      <w:jc w:val="center"/>
    </w:pPr>
  </w:p>
  <w:p w:rsidR="00060268" w:rsidRDefault="000602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68" w:rsidRDefault="00060268">
    <w:pPr>
      <w:pStyle w:val="a5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68" w:rsidRDefault="0006026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988">
      <w:rPr>
        <w:noProof/>
      </w:rPr>
      <w:t>2</w:t>
    </w:r>
    <w:r>
      <w:fldChar w:fldCharType="end"/>
    </w:r>
  </w:p>
  <w:p w:rsidR="00060268" w:rsidRDefault="00060268">
    <w:pPr>
      <w:pStyle w:val="a5"/>
      <w:ind w:left="-54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7F" w:rsidRDefault="00C4197F" w:rsidP="005C3C2D">
      <w:pPr>
        <w:spacing w:after="0" w:line="240" w:lineRule="auto"/>
      </w:pPr>
      <w:r>
        <w:separator/>
      </w:r>
    </w:p>
  </w:footnote>
  <w:footnote w:type="continuationSeparator" w:id="0">
    <w:p w:rsidR="00C4197F" w:rsidRDefault="00C4197F" w:rsidP="005C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548370"/>
      <w:docPartObj>
        <w:docPartGallery w:val="Page Numbers (Top of Page)"/>
        <w:docPartUnique/>
      </w:docPartObj>
    </w:sdtPr>
    <w:sdtEndPr/>
    <w:sdtContent>
      <w:p w:rsidR="00060268" w:rsidRDefault="000602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88">
          <w:rPr>
            <w:noProof/>
          </w:rPr>
          <w:t>3</w:t>
        </w:r>
        <w:r>
          <w:fldChar w:fldCharType="end"/>
        </w:r>
      </w:p>
    </w:sdtContent>
  </w:sdt>
  <w:p w:rsidR="00060268" w:rsidRDefault="000602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68" w:rsidRDefault="00060268">
    <w:pPr>
      <w:pStyle w:val="a3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2D"/>
    <w:rsid w:val="00027D20"/>
    <w:rsid w:val="00060268"/>
    <w:rsid w:val="000676EE"/>
    <w:rsid w:val="001C5373"/>
    <w:rsid w:val="00216756"/>
    <w:rsid w:val="002836AF"/>
    <w:rsid w:val="002913C3"/>
    <w:rsid w:val="003504CB"/>
    <w:rsid w:val="003B66BA"/>
    <w:rsid w:val="00455727"/>
    <w:rsid w:val="00467395"/>
    <w:rsid w:val="004E0869"/>
    <w:rsid w:val="005278D0"/>
    <w:rsid w:val="005B7C57"/>
    <w:rsid w:val="005C3C2D"/>
    <w:rsid w:val="005E55A6"/>
    <w:rsid w:val="006434D0"/>
    <w:rsid w:val="006876EC"/>
    <w:rsid w:val="006B4EDB"/>
    <w:rsid w:val="00764B4A"/>
    <w:rsid w:val="00796988"/>
    <w:rsid w:val="007A158B"/>
    <w:rsid w:val="007A60E5"/>
    <w:rsid w:val="007D510F"/>
    <w:rsid w:val="007F1F97"/>
    <w:rsid w:val="009957DF"/>
    <w:rsid w:val="009C778B"/>
    <w:rsid w:val="00AA6614"/>
    <w:rsid w:val="00AB610C"/>
    <w:rsid w:val="00AC52C3"/>
    <w:rsid w:val="00AE3591"/>
    <w:rsid w:val="00AF16F1"/>
    <w:rsid w:val="00B6723A"/>
    <w:rsid w:val="00B77D6B"/>
    <w:rsid w:val="00BC42BB"/>
    <w:rsid w:val="00C30DC1"/>
    <w:rsid w:val="00C4197F"/>
    <w:rsid w:val="00D2215E"/>
    <w:rsid w:val="00D46470"/>
    <w:rsid w:val="00DF39AE"/>
    <w:rsid w:val="00E52B8C"/>
    <w:rsid w:val="00EC489A"/>
    <w:rsid w:val="00ED214E"/>
    <w:rsid w:val="00F21021"/>
    <w:rsid w:val="00F41FE4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8F8F0-B483-4DDA-9F04-8EDD0B1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C2D"/>
  </w:style>
  <w:style w:type="paragraph" w:styleId="a5">
    <w:name w:val="footer"/>
    <w:basedOn w:val="a"/>
    <w:link w:val="a6"/>
    <w:uiPriority w:val="99"/>
    <w:unhideWhenUsed/>
    <w:rsid w:val="005C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C2D"/>
  </w:style>
  <w:style w:type="paragraph" w:customStyle="1" w:styleId="ParagraphStyle0">
    <w:name w:val="ParagraphStyle0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">
    <w:name w:val="ParagraphStyle1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2">
    <w:name w:val="ParagraphStyle2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3">
    <w:name w:val="ParagraphStyle3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4">
    <w:name w:val="ParagraphStyle4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5">
    <w:name w:val="ParagraphStyle5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6">
    <w:name w:val="ParagraphStyle6"/>
    <w:hidden/>
    <w:rsid w:val="005C3C2D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7">
    <w:name w:val="ParagraphStyle7"/>
    <w:hidden/>
    <w:rsid w:val="005C3C2D"/>
    <w:pPr>
      <w:pBdr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8">
    <w:name w:val="ParagraphStyle8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9">
    <w:name w:val="ParagraphStyle9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0">
    <w:name w:val="ParagraphStyle10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1">
    <w:name w:val="ParagraphStyle11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2">
    <w:name w:val="ParagraphStyle12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3">
    <w:name w:val="ParagraphStyle13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4">
    <w:name w:val="ParagraphStyle14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5">
    <w:name w:val="ParagraphStyle15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6">
    <w:name w:val="ParagraphStyle16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7">
    <w:name w:val="ParagraphStyle17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character" w:styleId="a7">
    <w:name w:val="line number"/>
    <w:basedOn w:val="a0"/>
    <w:semiHidden/>
    <w:rsid w:val="005C3C2D"/>
  </w:style>
  <w:style w:type="character" w:styleId="a8">
    <w:name w:val="Hyperlink"/>
    <w:uiPriority w:val="99"/>
    <w:rsid w:val="005C3C2D"/>
    <w:rPr>
      <w:color w:val="0000FF"/>
      <w:u w:val="single"/>
    </w:rPr>
  </w:style>
  <w:style w:type="character" w:customStyle="1" w:styleId="FakeCharacterStyle">
    <w:name w:val="FakeCharacterStyle"/>
    <w:hidden/>
    <w:rsid w:val="005C3C2D"/>
    <w:rPr>
      <w:sz w:val="1"/>
      <w:szCs w:val="1"/>
    </w:rPr>
  </w:style>
  <w:style w:type="character" w:customStyle="1" w:styleId="CharacterStyle0">
    <w:name w:val="CharacterStyle0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9"/>
      <w:szCs w:val="29"/>
      <w:u w:val="none"/>
    </w:rPr>
  </w:style>
  <w:style w:type="character" w:customStyle="1" w:styleId="CharacterStyle1">
    <w:name w:val="CharacterStyle1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3">
    <w:name w:val="CharacterStyle3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4">
    <w:name w:val="CharacterStyle4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10">
    <w:name w:val="CharacterStyle10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11">
    <w:name w:val="CharacterStyle11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2">
    <w:name w:val="CharacterStyle12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table" w:styleId="1">
    <w:name w:val="Table Simple 1"/>
    <w:basedOn w:val="a1"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0">
    <w:name w:val="toc 1"/>
    <w:basedOn w:val="a"/>
    <w:next w:val="a"/>
    <w:autoRedefine/>
    <w:uiPriority w:val="39"/>
    <w:unhideWhenUsed/>
    <w:rsid w:val="00ED214E"/>
    <w:pPr>
      <w:spacing w:after="100"/>
    </w:pPr>
  </w:style>
  <w:style w:type="numbering" w:customStyle="1" w:styleId="11">
    <w:name w:val="Нет списка1"/>
    <w:next w:val="a2"/>
    <w:uiPriority w:val="99"/>
    <w:semiHidden/>
    <w:unhideWhenUsed/>
    <w:rsid w:val="00DF39AE"/>
  </w:style>
  <w:style w:type="paragraph" w:customStyle="1" w:styleId="ParagraphStyle18">
    <w:name w:val="ParagraphStyle18"/>
    <w:hidden/>
    <w:rsid w:val="00DF39AE"/>
    <w:pP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9">
    <w:name w:val="ParagraphStyle19"/>
    <w:hidden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18">
    <w:name w:val="CharacterStyle18"/>
    <w:hidden/>
    <w:rsid w:val="00DF39A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9">
    <w:name w:val="CharacterStyle19"/>
    <w:hidden/>
    <w:rsid w:val="00DF39A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table" w:customStyle="1" w:styleId="110">
    <w:name w:val="Простая таблица 11"/>
    <w:basedOn w:val="a1"/>
    <w:next w:val="1"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F39AE"/>
  </w:style>
  <w:style w:type="table" w:customStyle="1" w:styleId="12">
    <w:name w:val="Простая таблица 12"/>
    <w:basedOn w:val="a1"/>
    <w:next w:val="1"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2215E"/>
  </w:style>
  <w:style w:type="table" w:customStyle="1" w:styleId="13">
    <w:name w:val="Простая таблица 13"/>
    <w:basedOn w:val="a1"/>
    <w:next w:val="1"/>
    <w:rsid w:val="00D2215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504CB"/>
  </w:style>
  <w:style w:type="table" w:customStyle="1" w:styleId="14">
    <w:name w:val="Простая таблица 14"/>
    <w:basedOn w:val="a1"/>
    <w:next w:val="1"/>
    <w:rsid w:val="003504C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46470"/>
  </w:style>
  <w:style w:type="table" w:customStyle="1" w:styleId="15">
    <w:name w:val="Простая таблица 15"/>
    <w:basedOn w:val="a1"/>
    <w:next w:val="1"/>
    <w:rsid w:val="00D46470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A158B"/>
  </w:style>
  <w:style w:type="table" w:customStyle="1" w:styleId="16">
    <w:name w:val="Простая таблица 16"/>
    <w:basedOn w:val="a1"/>
    <w:next w:val="1"/>
    <w:rsid w:val="007A158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6434D0"/>
  </w:style>
  <w:style w:type="table" w:customStyle="1" w:styleId="17">
    <w:name w:val="Простая таблица 17"/>
    <w:basedOn w:val="a1"/>
    <w:next w:val="1"/>
    <w:rsid w:val="006434D0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6434D0"/>
  </w:style>
  <w:style w:type="table" w:customStyle="1" w:styleId="18">
    <w:name w:val="Простая таблица 18"/>
    <w:basedOn w:val="a1"/>
    <w:next w:val="1"/>
    <w:rsid w:val="006434D0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76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2836AF"/>
  </w:style>
  <w:style w:type="table" w:customStyle="1" w:styleId="19">
    <w:name w:val="Простая таблица 19"/>
    <w:basedOn w:val="a1"/>
    <w:next w:val="1"/>
    <w:rsid w:val="002836AF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67395"/>
  </w:style>
  <w:style w:type="table" w:customStyle="1" w:styleId="1100">
    <w:name w:val="Простая таблица 110"/>
    <w:basedOn w:val="a1"/>
    <w:next w:val="1"/>
    <w:rsid w:val="00467395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2875&amp;date=07.01.2021&amp;demo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28567&amp;date=07.01.2021&amp;demo=2&amp;dst=100009&amp;fld=134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2875&amp;date=07.01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2F39-1D52-4A73-9FF8-896EC432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33</Pages>
  <Words>5733</Words>
  <Characters>32683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Ширяев</dc:creator>
  <cp:keywords/>
  <dc:description/>
  <cp:lastModifiedBy>Калистратова А.Д</cp:lastModifiedBy>
  <cp:revision>18</cp:revision>
  <dcterms:created xsi:type="dcterms:W3CDTF">2021-03-04T12:48:00Z</dcterms:created>
  <dcterms:modified xsi:type="dcterms:W3CDTF">2023-01-18T10:19:00Z</dcterms:modified>
</cp:coreProperties>
</file>